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ED" w:rsidRPr="00D635ED" w:rsidRDefault="00D635ED" w:rsidP="00D635ED">
      <w:pPr>
        <w:jc w:val="center"/>
        <w:rPr>
          <w:b/>
          <w:sz w:val="32"/>
          <w:szCs w:val="32"/>
        </w:rPr>
      </w:pPr>
      <w:r w:rsidRPr="00D635ED">
        <w:rPr>
          <w:rFonts w:hint="eastAsia"/>
          <w:b/>
          <w:sz w:val="32"/>
          <w:szCs w:val="32"/>
        </w:rPr>
        <w:t>材料科学与工程学院关于博士研究生过程管理中学科</w:t>
      </w:r>
      <w:r>
        <w:rPr>
          <w:rFonts w:hint="eastAsia"/>
          <w:b/>
          <w:sz w:val="32"/>
          <w:szCs w:val="32"/>
        </w:rPr>
        <w:t>具体</w:t>
      </w:r>
      <w:r w:rsidRPr="00D635ED">
        <w:rPr>
          <w:rFonts w:hint="eastAsia"/>
          <w:b/>
          <w:sz w:val="32"/>
          <w:szCs w:val="32"/>
        </w:rPr>
        <w:t>负责</w:t>
      </w:r>
      <w:r>
        <w:rPr>
          <w:rFonts w:hint="eastAsia"/>
          <w:b/>
          <w:sz w:val="32"/>
          <w:szCs w:val="32"/>
        </w:rPr>
        <w:t>人</w:t>
      </w:r>
      <w:r w:rsidRPr="00D635ED">
        <w:rPr>
          <w:rFonts w:hint="eastAsia"/>
          <w:b/>
          <w:sz w:val="32"/>
          <w:szCs w:val="32"/>
        </w:rPr>
        <w:t>及硕士研究生必修环节与程序</w:t>
      </w:r>
      <w:r>
        <w:rPr>
          <w:rFonts w:hint="eastAsia"/>
          <w:b/>
          <w:sz w:val="32"/>
          <w:szCs w:val="32"/>
        </w:rPr>
        <w:t>落实</w:t>
      </w:r>
      <w:r w:rsidR="00D04D25">
        <w:rPr>
          <w:rFonts w:hint="eastAsia"/>
          <w:b/>
          <w:sz w:val="32"/>
          <w:szCs w:val="32"/>
        </w:rPr>
        <w:t>的</w:t>
      </w:r>
      <w:r w:rsidRPr="00D635ED">
        <w:rPr>
          <w:rFonts w:hint="eastAsia"/>
          <w:b/>
          <w:sz w:val="32"/>
          <w:szCs w:val="32"/>
        </w:rPr>
        <w:t>通知</w:t>
      </w:r>
    </w:p>
    <w:p w:rsidR="006205F1" w:rsidRDefault="00D635ED" w:rsidP="00B440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一、前期学院公布了“材料科学与工程学科关于博士研究生培养过程管理的有关办法”</w:t>
      </w:r>
      <w:r w:rsidR="00D04D25">
        <w:rPr>
          <w:rFonts w:hint="eastAsia"/>
          <w:sz w:val="28"/>
          <w:szCs w:val="28"/>
        </w:rPr>
        <w:t>等系列文件</w:t>
      </w:r>
      <w:r>
        <w:rPr>
          <w:rFonts w:hint="eastAsia"/>
          <w:sz w:val="28"/>
          <w:szCs w:val="28"/>
        </w:rPr>
        <w:t>，</w:t>
      </w:r>
      <w:r w:rsidR="00D04D25">
        <w:rPr>
          <w:rFonts w:hint="eastAsia"/>
          <w:sz w:val="28"/>
          <w:szCs w:val="28"/>
        </w:rPr>
        <w:t>文件中有向学科负责人申请开题、中期检查等内容，现公布现阶段各学科的具体负责人</w:t>
      </w:r>
      <w:r w:rsidR="006205F1">
        <w:rPr>
          <w:rFonts w:hint="eastAsia"/>
          <w:sz w:val="28"/>
          <w:szCs w:val="28"/>
        </w:rPr>
        <w:t>（见表）</w:t>
      </w:r>
      <w:r w:rsidR="00D04D25">
        <w:rPr>
          <w:rFonts w:hint="eastAsia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283"/>
        <w:gridCol w:w="1514"/>
        <w:gridCol w:w="2640"/>
      </w:tblGrid>
      <w:tr w:rsidR="006205F1" w:rsidTr="00333F52">
        <w:tc>
          <w:tcPr>
            <w:tcW w:w="1951" w:type="dxa"/>
          </w:tcPr>
          <w:p w:rsidR="006205F1" w:rsidRPr="00333F52" w:rsidRDefault="006205F1" w:rsidP="00333F52">
            <w:pPr>
              <w:jc w:val="center"/>
              <w:rPr>
                <w:b/>
                <w:sz w:val="24"/>
                <w:szCs w:val="24"/>
              </w:rPr>
            </w:pPr>
            <w:r w:rsidRPr="00333F52">
              <w:rPr>
                <w:rFonts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1134" w:type="dxa"/>
          </w:tcPr>
          <w:p w:rsidR="006205F1" w:rsidRPr="00333F52" w:rsidRDefault="006205F1" w:rsidP="00333F52">
            <w:pPr>
              <w:jc w:val="center"/>
              <w:rPr>
                <w:b/>
                <w:sz w:val="24"/>
                <w:szCs w:val="24"/>
              </w:rPr>
            </w:pPr>
            <w:r w:rsidRPr="00333F52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283" w:type="dxa"/>
          </w:tcPr>
          <w:p w:rsidR="006205F1" w:rsidRPr="00333F52" w:rsidRDefault="006205F1" w:rsidP="00333F52">
            <w:pPr>
              <w:jc w:val="center"/>
              <w:rPr>
                <w:b/>
                <w:sz w:val="24"/>
                <w:szCs w:val="24"/>
              </w:rPr>
            </w:pPr>
            <w:r w:rsidRPr="00333F52">
              <w:rPr>
                <w:rFonts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514" w:type="dxa"/>
          </w:tcPr>
          <w:p w:rsidR="006205F1" w:rsidRPr="00333F52" w:rsidRDefault="006205F1" w:rsidP="00333F52">
            <w:pPr>
              <w:jc w:val="center"/>
              <w:rPr>
                <w:b/>
                <w:sz w:val="24"/>
                <w:szCs w:val="24"/>
              </w:rPr>
            </w:pPr>
            <w:r w:rsidRPr="00333F52">
              <w:rPr>
                <w:rFonts w:hint="eastAsia"/>
                <w:b/>
                <w:sz w:val="24"/>
                <w:szCs w:val="24"/>
              </w:rPr>
              <w:t>办公地点</w:t>
            </w:r>
          </w:p>
        </w:tc>
        <w:tc>
          <w:tcPr>
            <w:tcW w:w="2640" w:type="dxa"/>
          </w:tcPr>
          <w:p w:rsidR="006205F1" w:rsidRPr="00333F52" w:rsidRDefault="006205F1" w:rsidP="00333F52">
            <w:pPr>
              <w:jc w:val="center"/>
              <w:rPr>
                <w:b/>
                <w:sz w:val="24"/>
                <w:szCs w:val="24"/>
              </w:rPr>
            </w:pPr>
            <w:r w:rsidRPr="00333F52">
              <w:rPr>
                <w:rFonts w:hint="eastAsia"/>
                <w:b/>
                <w:sz w:val="24"/>
                <w:szCs w:val="24"/>
              </w:rPr>
              <w:t>邮箱</w:t>
            </w:r>
          </w:p>
        </w:tc>
      </w:tr>
      <w:tr w:rsidR="006205F1" w:rsidTr="00333F52">
        <w:tc>
          <w:tcPr>
            <w:tcW w:w="1951" w:type="dxa"/>
          </w:tcPr>
          <w:p w:rsidR="006205F1" w:rsidRPr="00333F52" w:rsidRDefault="006205F1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材料物理与化学</w:t>
            </w:r>
          </w:p>
        </w:tc>
        <w:tc>
          <w:tcPr>
            <w:tcW w:w="1134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李小武</w:t>
            </w:r>
          </w:p>
        </w:tc>
        <w:tc>
          <w:tcPr>
            <w:tcW w:w="1283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78479</w:t>
            </w:r>
          </w:p>
        </w:tc>
        <w:tc>
          <w:tcPr>
            <w:tcW w:w="1514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冶金馆</w:t>
            </w:r>
            <w:r w:rsidRPr="00333F52">
              <w:rPr>
                <w:rFonts w:hint="eastAsia"/>
                <w:sz w:val="24"/>
                <w:szCs w:val="24"/>
              </w:rPr>
              <w:t>417</w:t>
            </w:r>
          </w:p>
        </w:tc>
        <w:tc>
          <w:tcPr>
            <w:tcW w:w="2640" w:type="dxa"/>
          </w:tcPr>
          <w:p w:rsidR="006205F1" w:rsidRPr="00333F52" w:rsidRDefault="00323969" w:rsidP="00333F52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333F52" w:rsidRPr="00333F52">
                <w:rPr>
                  <w:rStyle w:val="a6"/>
                  <w:sz w:val="24"/>
                  <w:szCs w:val="24"/>
                </w:rPr>
                <w:t>xwli@mail.neu.edu.cn</w:t>
              </w:r>
            </w:hyperlink>
          </w:p>
        </w:tc>
      </w:tr>
      <w:tr w:rsidR="006205F1" w:rsidTr="00333F52">
        <w:tc>
          <w:tcPr>
            <w:tcW w:w="1951" w:type="dxa"/>
          </w:tcPr>
          <w:p w:rsidR="006205F1" w:rsidRPr="00333F52" w:rsidRDefault="006205F1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材料学</w:t>
            </w:r>
          </w:p>
        </w:tc>
        <w:tc>
          <w:tcPr>
            <w:tcW w:w="1134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陈岁元</w:t>
            </w:r>
          </w:p>
        </w:tc>
        <w:tc>
          <w:tcPr>
            <w:tcW w:w="1283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91578</w:t>
            </w:r>
          </w:p>
        </w:tc>
        <w:tc>
          <w:tcPr>
            <w:tcW w:w="1514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proofErr w:type="gramStart"/>
            <w:r w:rsidRPr="00333F52">
              <w:rPr>
                <w:rFonts w:hint="eastAsia"/>
                <w:sz w:val="24"/>
                <w:szCs w:val="24"/>
              </w:rPr>
              <w:t>知行楼</w:t>
            </w:r>
            <w:proofErr w:type="gramEnd"/>
            <w:r w:rsidRPr="00333F52">
              <w:rPr>
                <w:rFonts w:hint="eastAsia"/>
                <w:sz w:val="24"/>
                <w:szCs w:val="24"/>
              </w:rPr>
              <w:t>431A</w:t>
            </w:r>
          </w:p>
        </w:tc>
        <w:tc>
          <w:tcPr>
            <w:tcW w:w="2640" w:type="dxa"/>
          </w:tcPr>
          <w:p w:rsidR="006205F1" w:rsidRPr="00333F52" w:rsidRDefault="00323969" w:rsidP="00333F52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333F52" w:rsidRPr="00333F52">
                <w:rPr>
                  <w:rStyle w:val="a6"/>
                  <w:sz w:val="24"/>
                  <w:szCs w:val="24"/>
                </w:rPr>
                <w:t>chensy@atm.neu.edu.cn</w:t>
              </w:r>
            </w:hyperlink>
          </w:p>
        </w:tc>
      </w:tr>
      <w:tr w:rsidR="006205F1" w:rsidTr="00333F52">
        <w:tc>
          <w:tcPr>
            <w:tcW w:w="1951" w:type="dxa"/>
          </w:tcPr>
          <w:p w:rsidR="006205F1" w:rsidRPr="00333F52" w:rsidRDefault="006205F1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材料加工工程（学院部分）</w:t>
            </w:r>
          </w:p>
        </w:tc>
        <w:tc>
          <w:tcPr>
            <w:tcW w:w="1134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丁桦</w:t>
            </w:r>
          </w:p>
        </w:tc>
        <w:tc>
          <w:tcPr>
            <w:tcW w:w="1283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73081</w:t>
            </w:r>
          </w:p>
        </w:tc>
        <w:tc>
          <w:tcPr>
            <w:tcW w:w="1514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proofErr w:type="gramStart"/>
            <w:r w:rsidRPr="00333F52">
              <w:rPr>
                <w:rFonts w:hint="eastAsia"/>
                <w:sz w:val="24"/>
                <w:szCs w:val="24"/>
              </w:rPr>
              <w:t>知行楼</w:t>
            </w:r>
            <w:proofErr w:type="gramEnd"/>
            <w:r w:rsidRPr="00333F52">
              <w:rPr>
                <w:rFonts w:hint="eastAsia"/>
                <w:sz w:val="24"/>
                <w:szCs w:val="24"/>
              </w:rPr>
              <w:t>623A</w:t>
            </w:r>
          </w:p>
        </w:tc>
        <w:tc>
          <w:tcPr>
            <w:tcW w:w="2640" w:type="dxa"/>
          </w:tcPr>
          <w:p w:rsidR="006205F1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sz w:val="24"/>
                <w:szCs w:val="24"/>
              </w:rPr>
              <w:t>hding@263.net</w:t>
            </w:r>
          </w:p>
        </w:tc>
      </w:tr>
      <w:tr w:rsidR="00333F52" w:rsidTr="00333F52">
        <w:tc>
          <w:tcPr>
            <w:tcW w:w="1951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材料加工工程（</w:t>
            </w:r>
            <w:r w:rsidRPr="00333F52">
              <w:rPr>
                <w:rFonts w:hint="eastAsia"/>
                <w:sz w:val="24"/>
                <w:szCs w:val="24"/>
              </w:rPr>
              <w:t>EPM</w:t>
            </w:r>
            <w:r w:rsidRPr="00333F52">
              <w:rPr>
                <w:rFonts w:hint="eastAsia"/>
                <w:sz w:val="24"/>
                <w:szCs w:val="24"/>
              </w:rPr>
              <w:t>部分）</w:t>
            </w:r>
          </w:p>
        </w:tc>
        <w:tc>
          <w:tcPr>
            <w:tcW w:w="1134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班春燕</w:t>
            </w:r>
          </w:p>
        </w:tc>
        <w:tc>
          <w:tcPr>
            <w:tcW w:w="1283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81895</w:t>
            </w:r>
          </w:p>
        </w:tc>
        <w:tc>
          <w:tcPr>
            <w:tcW w:w="1514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EPM</w:t>
            </w:r>
          </w:p>
        </w:tc>
        <w:tc>
          <w:tcPr>
            <w:tcW w:w="2640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sz w:val="24"/>
                <w:szCs w:val="24"/>
              </w:rPr>
              <w:t>bancy@epm.neu.edu.cn</w:t>
            </w:r>
          </w:p>
        </w:tc>
      </w:tr>
      <w:tr w:rsidR="00333F52" w:rsidTr="00333F52">
        <w:tc>
          <w:tcPr>
            <w:tcW w:w="1951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材料加工工程（</w:t>
            </w:r>
            <w:r w:rsidRPr="00333F52">
              <w:rPr>
                <w:rFonts w:hint="eastAsia"/>
                <w:sz w:val="24"/>
                <w:szCs w:val="24"/>
              </w:rPr>
              <w:t>RAL</w:t>
            </w:r>
            <w:r w:rsidRPr="00333F52">
              <w:rPr>
                <w:rFonts w:hint="eastAsia"/>
                <w:sz w:val="24"/>
                <w:szCs w:val="24"/>
              </w:rPr>
              <w:t>部分）</w:t>
            </w:r>
          </w:p>
        </w:tc>
        <w:tc>
          <w:tcPr>
            <w:tcW w:w="1134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赵宪明</w:t>
            </w:r>
          </w:p>
        </w:tc>
        <w:tc>
          <w:tcPr>
            <w:tcW w:w="1283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88544</w:t>
            </w:r>
          </w:p>
        </w:tc>
        <w:tc>
          <w:tcPr>
            <w:tcW w:w="1514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rFonts w:hint="eastAsia"/>
                <w:sz w:val="24"/>
                <w:szCs w:val="24"/>
              </w:rPr>
              <w:t>RAL215</w:t>
            </w:r>
          </w:p>
        </w:tc>
        <w:tc>
          <w:tcPr>
            <w:tcW w:w="2640" w:type="dxa"/>
          </w:tcPr>
          <w:p w:rsidR="00333F52" w:rsidRPr="00333F52" w:rsidRDefault="00333F52" w:rsidP="00333F52">
            <w:pPr>
              <w:jc w:val="center"/>
              <w:rPr>
                <w:sz w:val="24"/>
                <w:szCs w:val="24"/>
              </w:rPr>
            </w:pPr>
            <w:r w:rsidRPr="00333F52">
              <w:rPr>
                <w:sz w:val="24"/>
                <w:szCs w:val="24"/>
              </w:rPr>
              <w:t>zhaoxm@ral.neu.edu.cn</w:t>
            </w:r>
          </w:p>
        </w:tc>
      </w:tr>
    </w:tbl>
    <w:p w:rsidR="00E6348F" w:rsidRDefault="00333F52" w:rsidP="00FF5A54">
      <w:pPr>
        <w:ind w:firstLineChars="200" w:firstLine="560"/>
        <w:rPr>
          <w:sz w:val="28"/>
          <w:szCs w:val="28"/>
        </w:rPr>
      </w:pPr>
      <w:r w:rsidRPr="00FF5A54">
        <w:rPr>
          <w:rFonts w:hint="eastAsia"/>
          <w:sz w:val="28"/>
          <w:szCs w:val="28"/>
        </w:rPr>
        <w:t>对</w:t>
      </w:r>
      <w:r w:rsidR="00FF5A54" w:rsidRPr="00FF5A54">
        <w:rPr>
          <w:rFonts w:hint="eastAsia"/>
          <w:sz w:val="28"/>
          <w:szCs w:val="28"/>
        </w:rPr>
        <w:t>兼职导师所指导的博士生，过程</w:t>
      </w:r>
      <w:r w:rsidR="00F6025A">
        <w:rPr>
          <w:rFonts w:hint="eastAsia"/>
          <w:sz w:val="28"/>
          <w:szCs w:val="28"/>
        </w:rPr>
        <w:t>管理</w:t>
      </w:r>
      <w:r w:rsidR="00FF5A54" w:rsidRPr="00FF5A54">
        <w:rPr>
          <w:rFonts w:hint="eastAsia"/>
          <w:sz w:val="28"/>
          <w:szCs w:val="28"/>
        </w:rPr>
        <w:t>的程序和时间要求按文件执行，</w:t>
      </w:r>
      <w:r w:rsidR="00B4400B">
        <w:rPr>
          <w:rFonts w:hint="eastAsia"/>
          <w:sz w:val="28"/>
          <w:szCs w:val="28"/>
        </w:rPr>
        <w:t>导师所在单位为</w:t>
      </w:r>
      <w:r w:rsidR="00FF5A54" w:rsidRPr="00FF5A54">
        <w:rPr>
          <w:rFonts w:hint="eastAsia"/>
          <w:sz w:val="28"/>
          <w:szCs w:val="28"/>
        </w:rPr>
        <w:t>西北院</w:t>
      </w:r>
      <w:r w:rsidR="00B4400B">
        <w:rPr>
          <w:rFonts w:hint="eastAsia"/>
          <w:sz w:val="28"/>
          <w:szCs w:val="28"/>
        </w:rPr>
        <w:t>、中科院金属所（学生为实验室班的）和</w:t>
      </w:r>
      <w:r w:rsidR="00FF5A54" w:rsidRPr="00FF5A54">
        <w:rPr>
          <w:rFonts w:hint="eastAsia"/>
          <w:sz w:val="28"/>
          <w:szCs w:val="28"/>
        </w:rPr>
        <w:t>校所联合培养</w:t>
      </w:r>
      <w:r w:rsidR="00B4400B">
        <w:rPr>
          <w:rFonts w:hint="eastAsia"/>
          <w:sz w:val="28"/>
          <w:szCs w:val="28"/>
        </w:rPr>
        <w:t>第一导师为北京钢铁研究总院、北京矿冶研究院、北京有色金属研究院的，可向单位的研究生管理部门申请，其它兼职导师的博士生按导师的学科所属归口申请。</w:t>
      </w:r>
    </w:p>
    <w:p w:rsidR="00B4400B" w:rsidRDefault="00B4400B" w:rsidP="00FF5A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级硕士研究生</w:t>
      </w:r>
      <w:proofErr w:type="gramStart"/>
      <w:r>
        <w:rPr>
          <w:rFonts w:hint="eastAsia"/>
          <w:sz w:val="28"/>
          <w:szCs w:val="28"/>
        </w:rPr>
        <w:t>答辩按</w:t>
      </w:r>
      <w:proofErr w:type="gramEnd"/>
      <w:r>
        <w:rPr>
          <w:rFonts w:hint="eastAsia"/>
          <w:sz w:val="28"/>
          <w:szCs w:val="28"/>
        </w:rPr>
        <w:t>导师所属的学科进行，</w:t>
      </w:r>
      <w:r w:rsidR="004F3A7C" w:rsidRPr="004F3A7C">
        <w:rPr>
          <w:rFonts w:hint="eastAsia"/>
          <w:sz w:val="28"/>
          <w:szCs w:val="28"/>
        </w:rPr>
        <w:t>导师所在单位为西北院</w:t>
      </w:r>
      <w:r w:rsidR="004F3A7C">
        <w:rPr>
          <w:rFonts w:hint="eastAsia"/>
          <w:sz w:val="28"/>
          <w:szCs w:val="28"/>
        </w:rPr>
        <w:t>可在西北院安排答辩，其它均按导师所属学科</w:t>
      </w:r>
      <w:r w:rsidR="004F3A7C" w:rsidRPr="004F3A7C">
        <w:rPr>
          <w:rFonts w:hint="eastAsia"/>
          <w:sz w:val="28"/>
          <w:szCs w:val="28"/>
        </w:rPr>
        <w:t>归口</w:t>
      </w:r>
      <w:r w:rsidR="004F3A7C">
        <w:rPr>
          <w:rFonts w:hint="eastAsia"/>
          <w:sz w:val="28"/>
          <w:szCs w:val="28"/>
        </w:rPr>
        <w:t>安排。</w:t>
      </w:r>
    </w:p>
    <w:p w:rsidR="00634EE0" w:rsidRDefault="004F3A7C" w:rsidP="00634E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</w:t>
      </w:r>
      <w:r w:rsidR="008A4E23">
        <w:rPr>
          <w:rFonts w:hint="eastAsia"/>
          <w:sz w:val="28"/>
          <w:szCs w:val="28"/>
        </w:rPr>
        <w:t>硕士研究生的开题也由学科统一安排，</w:t>
      </w:r>
      <w:r w:rsidR="00634EE0">
        <w:rPr>
          <w:rFonts w:hint="eastAsia"/>
          <w:sz w:val="28"/>
          <w:szCs w:val="28"/>
        </w:rPr>
        <w:t>须在本学科期内完成。</w:t>
      </w:r>
    </w:p>
    <w:p w:rsidR="00393637" w:rsidRDefault="003C3323" w:rsidP="00634E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634EE0">
        <w:rPr>
          <w:rFonts w:hint="eastAsia"/>
          <w:sz w:val="28"/>
          <w:szCs w:val="28"/>
        </w:rPr>
        <w:t>2015</w:t>
      </w:r>
      <w:r w:rsidR="00634EE0">
        <w:rPr>
          <w:rFonts w:hint="eastAsia"/>
          <w:sz w:val="28"/>
          <w:szCs w:val="28"/>
        </w:rPr>
        <w:t>级硕士研究生中学术型研究生的“学术报告与讲座”学分，按培养方案中规定的</w:t>
      </w:r>
      <w:r w:rsidR="000E4145">
        <w:rPr>
          <w:rFonts w:hint="eastAsia"/>
          <w:sz w:val="28"/>
          <w:szCs w:val="28"/>
        </w:rPr>
        <w:t>二</w:t>
      </w:r>
      <w:r w:rsidR="00634EE0">
        <w:rPr>
          <w:rFonts w:hint="eastAsia"/>
          <w:sz w:val="28"/>
          <w:szCs w:val="28"/>
        </w:rPr>
        <w:t>种方式取得，即：</w:t>
      </w:r>
      <w:r w:rsidR="00634EE0">
        <w:rPr>
          <w:rFonts w:hint="eastAsia"/>
          <w:sz w:val="28"/>
          <w:szCs w:val="28"/>
        </w:rPr>
        <w:t>1</w:t>
      </w:r>
      <w:r w:rsidR="00634EE0">
        <w:rPr>
          <w:sz w:val="28"/>
          <w:szCs w:val="28"/>
        </w:rPr>
        <w:t>.</w:t>
      </w:r>
      <w:r w:rsidR="00634EE0" w:rsidRPr="00634EE0">
        <w:rPr>
          <w:rFonts w:hint="eastAsia"/>
          <w:sz w:val="28"/>
          <w:szCs w:val="28"/>
        </w:rPr>
        <w:t>学生以作者身份参加国内外学术会议，在会议上做学术报告或展示学术成果（墙报形式），</w:t>
      </w:r>
      <w:r w:rsidR="00634EE0" w:rsidRPr="00634EE0">
        <w:rPr>
          <w:rFonts w:hint="eastAsia"/>
          <w:sz w:val="28"/>
          <w:szCs w:val="28"/>
        </w:rPr>
        <w:lastRenderedPageBreak/>
        <w:t>提供相关参会证明以及经导师签字盖章的会议总结</w:t>
      </w:r>
      <w:r w:rsidR="00634EE0">
        <w:rPr>
          <w:sz w:val="28"/>
          <w:szCs w:val="28"/>
        </w:rPr>
        <w:t xml:space="preserve">; </w:t>
      </w:r>
      <w:r w:rsidR="000E4145">
        <w:rPr>
          <w:rFonts w:hint="eastAsia"/>
          <w:sz w:val="28"/>
          <w:szCs w:val="28"/>
        </w:rPr>
        <w:t>2</w:t>
      </w:r>
      <w:r w:rsidR="000E4145">
        <w:rPr>
          <w:sz w:val="28"/>
          <w:szCs w:val="28"/>
        </w:rPr>
        <w:t>.</w:t>
      </w:r>
      <w:r w:rsidR="00634EE0" w:rsidRPr="00634EE0">
        <w:rPr>
          <w:rFonts w:hint="eastAsia"/>
          <w:sz w:val="28"/>
          <w:szCs w:val="28"/>
        </w:rPr>
        <w:t>在由学生所在学科或指导教师团队组织的学术研讨会上，做专题学术报告二次及以上，提供由研讨会组织者签字盖章的报告，视为完成“学术讲座”；参加至少</w:t>
      </w:r>
      <w:r w:rsidR="00634EE0" w:rsidRPr="00634EE0">
        <w:rPr>
          <w:rFonts w:hint="eastAsia"/>
          <w:sz w:val="28"/>
          <w:szCs w:val="28"/>
        </w:rPr>
        <w:t>6</w:t>
      </w:r>
      <w:r w:rsidR="00634EE0" w:rsidRPr="00634EE0">
        <w:rPr>
          <w:rFonts w:hint="eastAsia"/>
          <w:sz w:val="28"/>
          <w:szCs w:val="28"/>
        </w:rPr>
        <w:t>次以上的各类学术报告，使用并提交学院专用表格经报告组织者签字（组织者不能签字可由导师签字盖章），视为完成“学术报告”。前述材料以班级为单位于</w:t>
      </w:r>
      <w:proofErr w:type="gramStart"/>
      <w:r w:rsidR="00634EE0" w:rsidRPr="00634EE0">
        <w:rPr>
          <w:rFonts w:hint="eastAsia"/>
          <w:sz w:val="28"/>
          <w:szCs w:val="28"/>
        </w:rPr>
        <w:t>第四学</w:t>
      </w:r>
      <w:proofErr w:type="gramEnd"/>
      <w:r w:rsidR="00634EE0" w:rsidRPr="00634EE0">
        <w:rPr>
          <w:rFonts w:hint="eastAsia"/>
          <w:sz w:val="28"/>
          <w:szCs w:val="28"/>
        </w:rPr>
        <w:t>期末上交，可取得“学术报告与讲座”的学分。如发现</w:t>
      </w:r>
      <w:r w:rsidR="00393637">
        <w:rPr>
          <w:rFonts w:hint="eastAsia"/>
          <w:sz w:val="28"/>
          <w:szCs w:val="28"/>
        </w:rPr>
        <w:t>抄袭、</w:t>
      </w:r>
      <w:r w:rsidR="00634EE0" w:rsidRPr="00634EE0">
        <w:rPr>
          <w:rFonts w:hint="eastAsia"/>
          <w:sz w:val="28"/>
          <w:szCs w:val="28"/>
        </w:rPr>
        <w:t>伪造</w:t>
      </w:r>
      <w:r w:rsidR="00393637">
        <w:rPr>
          <w:rFonts w:hint="eastAsia"/>
          <w:sz w:val="28"/>
          <w:szCs w:val="28"/>
        </w:rPr>
        <w:t>（包括签名）</w:t>
      </w:r>
      <w:r w:rsidR="00634EE0" w:rsidRPr="00634EE0">
        <w:rPr>
          <w:rFonts w:hint="eastAsia"/>
          <w:sz w:val="28"/>
          <w:szCs w:val="28"/>
        </w:rPr>
        <w:t>将取消成绩。</w:t>
      </w:r>
      <w:r w:rsidR="00393637">
        <w:rPr>
          <w:rFonts w:hint="eastAsia"/>
          <w:sz w:val="28"/>
          <w:szCs w:val="28"/>
        </w:rPr>
        <w:t xml:space="preserve">   </w:t>
      </w:r>
    </w:p>
    <w:p w:rsidR="004F3A7C" w:rsidRDefault="003C3323" w:rsidP="00634E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393637">
        <w:rPr>
          <w:rFonts w:hint="eastAsia"/>
          <w:sz w:val="28"/>
          <w:szCs w:val="28"/>
        </w:rPr>
        <w:t>2015</w:t>
      </w:r>
      <w:r w:rsidR="00393637">
        <w:rPr>
          <w:rFonts w:hint="eastAsia"/>
          <w:sz w:val="28"/>
          <w:szCs w:val="28"/>
        </w:rPr>
        <w:t>级</w:t>
      </w:r>
      <w:r w:rsidR="00393637" w:rsidRPr="00393637">
        <w:rPr>
          <w:rFonts w:hint="eastAsia"/>
          <w:sz w:val="28"/>
          <w:szCs w:val="28"/>
        </w:rPr>
        <w:t>硕士研究生中</w:t>
      </w:r>
      <w:r w:rsidR="00393637">
        <w:rPr>
          <w:rFonts w:hint="eastAsia"/>
          <w:sz w:val="28"/>
          <w:szCs w:val="28"/>
        </w:rPr>
        <w:t>应用</w:t>
      </w:r>
      <w:r w:rsidR="00393637" w:rsidRPr="00393637">
        <w:rPr>
          <w:rFonts w:hint="eastAsia"/>
          <w:sz w:val="28"/>
          <w:szCs w:val="28"/>
        </w:rPr>
        <w:t>型研究生的“</w:t>
      </w:r>
      <w:r w:rsidR="00393637">
        <w:rPr>
          <w:rFonts w:hint="eastAsia"/>
          <w:sz w:val="28"/>
          <w:szCs w:val="28"/>
        </w:rPr>
        <w:t>专业实践</w:t>
      </w:r>
      <w:r w:rsidR="00393637" w:rsidRPr="00393637">
        <w:rPr>
          <w:rFonts w:hint="eastAsia"/>
          <w:sz w:val="28"/>
          <w:szCs w:val="28"/>
        </w:rPr>
        <w:t>”</w:t>
      </w:r>
      <w:r w:rsidR="00393637">
        <w:rPr>
          <w:rFonts w:hint="eastAsia"/>
          <w:sz w:val="28"/>
          <w:szCs w:val="28"/>
        </w:rPr>
        <w:t>6</w:t>
      </w:r>
      <w:r w:rsidR="00393637" w:rsidRPr="00393637">
        <w:rPr>
          <w:rFonts w:hint="eastAsia"/>
          <w:sz w:val="28"/>
          <w:szCs w:val="28"/>
        </w:rPr>
        <w:t>学分</w:t>
      </w:r>
      <w:r w:rsidR="005F7061">
        <w:rPr>
          <w:rFonts w:hint="eastAsia"/>
          <w:sz w:val="28"/>
          <w:szCs w:val="28"/>
        </w:rPr>
        <w:t>按培养方案由现场实践和校内专业实践二部分组成。</w:t>
      </w:r>
      <w:r w:rsidR="000436BA" w:rsidRPr="000436BA">
        <w:rPr>
          <w:rFonts w:hint="eastAsia"/>
          <w:sz w:val="28"/>
          <w:szCs w:val="28"/>
        </w:rPr>
        <w:t>现场实践以提交由校内外导师签字盖章的实践（习）日志方式（导师须给出成绩），现场满</w:t>
      </w:r>
      <w:r w:rsidR="000436BA" w:rsidRPr="000436BA">
        <w:rPr>
          <w:rFonts w:hint="eastAsia"/>
          <w:sz w:val="28"/>
          <w:szCs w:val="28"/>
        </w:rPr>
        <w:t>30</w:t>
      </w:r>
      <w:r w:rsidR="000436BA" w:rsidRPr="000436BA">
        <w:rPr>
          <w:rFonts w:hint="eastAsia"/>
          <w:sz w:val="28"/>
          <w:szCs w:val="28"/>
        </w:rPr>
        <w:t>天计</w:t>
      </w:r>
      <w:r w:rsidR="000436BA" w:rsidRPr="000436BA">
        <w:rPr>
          <w:rFonts w:hint="eastAsia"/>
          <w:sz w:val="28"/>
          <w:szCs w:val="28"/>
        </w:rPr>
        <w:t>2</w:t>
      </w:r>
      <w:r w:rsidR="000436BA" w:rsidRPr="000436BA">
        <w:rPr>
          <w:rFonts w:hint="eastAsia"/>
          <w:sz w:val="28"/>
          <w:szCs w:val="28"/>
        </w:rPr>
        <w:t>学分；校内实践至少两个专题实验，提交由导师签字盖章并给出评价的报告。上述两部分材料于第五学期</w:t>
      </w:r>
      <w:r w:rsidR="000436BA" w:rsidRPr="000436BA">
        <w:rPr>
          <w:rFonts w:hint="eastAsia"/>
          <w:sz w:val="28"/>
          <w:szCs w:val="28"/>
        </w:rPr>
        <w:t>9</w:t>
      </w:r>
      <w:r w:rsidR="000436BA" w:rsidRPr="000436BA">
        <w:rPr>
          <w:rFonts w:hint="eastAsia"/>
          <w:sz w:val="28"/>
          <w:szCs w:val="28"/>
        </w:rPr>
        <w:t>月底前以班级为单位上交学院，考核由学科负责。对于计划申请考核制博士的，应提前在第四学期的</w:t>
      </w:r>
      <w:r w:rsidR="000436BA" w:rsidRPr="000436BA">
        <w:rPr>
          <w:rFonts w:hint="eastAsia"/>
          <w:sz w:val="28"/>
          <w:szCs w:val="28"/>
        </w:rPr>
        <w:t>5</w:t>
      </w:r>
      <w:r w:rsidR="000436BA" w:rsidRPr="000436BA">
        <w:rPr>
          <w:rFonts w:hint="eastAsia"/>
          <w:sz w:val="28"/>
          <w:szCs w:val="28"/>
        </w:rPr>
        <w:t>月底前提交。如发现抄袭、伪造（包括签名）将取消成绩</w:t>
      </w:r>
      <w:r w:rsidR="000436BA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0F65CA" w:rsidRDefault="000F65CA" w:rsidP="00634E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以上事宜由学院与学科沟通确定，请广大师生参照执行。</w:t>
      </w:r>
    </w:p>
    <w:p w:rsidR="000F65CA" w:rsidRPr="000F65CA" w:rsidRDefault="000F65CA" w:rsidP="00634EE0">
      <w:pPr>
        <w:ind w:firstLineChars="200" w:firstLine="560"/>
        <w:rPr>
          <w:sz w:val="28"/>
          <w:szCs w:val="28"/>
        </w:rPr>
      </w:pPr>
    </w:p>
    <w:p w:rsidR="000F65CA" w:rsidRDefault="000F65CA" w:rsidP="00634E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材料科学与工程学院教科办</w:t>
      </w:r>
    </w:p>
    <w:p w:rsidR="000F65CA" w:rsidRPr="000F65CA" w:rsidRDefault="000F65CA" w:rsidP="00634E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:rsidR="000F65CA" w:rsidRPr="000F65CA" w:rsidRDefault="000F65CA" w:rsidP="00634EE0">
      <w:pPr>
        <w:ind w:firstLineChars="200" w:firstLine="560"/>
        <w:rPr>
          <w:sz w:val="28"/>
          <w:szCs w:val="28"/>
        </w:rPr>
      </w:pPr>
    </w:p>
    <w:sectPr w:rsidR="000F65CA" w:rsidRPr="000F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69" w:rsidRDefault="00323969" w:rsidP="00D635ED">
      <w:r>
        <w:separator/>
      </w:r>
    </w:p>
  </w:endnote>
  <w:endnote w:type="continuationSeparator" w:id="0">
    <w:p w:rsidR="00323969" w:rsidRDefault="00323969" w:rsidP="00D6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69" w:rsidRDefault="00323969" w:rsidP="00D635ED">
      <w:r>
        <w:separator/>
      </w:r>
    </w:p>
  </w:footnote>
  <w:footnote w:type="continuationSeparator" w:id="0">
    <w:p w:rsidR="00323969" w:rsidRDefault="00323969" w:rsidP="00D6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63"/>
    <w:rsid w:val="000436BA"/>
    <w:rsid w:val="00051ECA"/>
    <w:rsid w:val="000E4145"/>
    <w:rsid w:val="000F65CA"/>
    <w:rsid w:val="002672D8"/>
    <w:rsid w:val="002A69AC"/>
    <w:rsid w:val="00314E93"/>
    <w:rsid w:val="00323969"/>
    <w:rsid w:val="00333F52"/>
    <w:rsid w:val="00393637"/>
    <w:rsid w:val="003C3323"/>
    <w:rsid w:val="004F3A7C"/>
    <w:rsid w:val="005F7061"/>
    <w:rsid w:val="006205F1"/>
    <w:rsid w:val="00622063"/>
    <w:rsid w:val="00634EE0"/>
    <w:rsid w:val="00671F01"/>
    <w:rsid w:val="007078E2"/>
    <w:rsid w:val="008A4E23"/>
    <w:rsid w:val="00B4400B"/>
    <w:rsid w:val="00D04D25"/>
    <w:rsid w:val="00D635ED"/>
    <w:rsid w:val="00E6348F"/>
    <w:rsid w:val="00F6025A"/>
    <w:rsid w:val="00FD09A4"/>
    <w:rsid w:val="00FE7765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5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5ED"/>
    <w:rPr>
      <w:sz w:val="18"/>
      <w:szCs w:val="18"/>
    </w:rPr>
  </w:style>
  <w:style w:type="paragraph" w:styleId="a5">
    <w:name w:val="List Paragraph"/>
    <w:basedOn w:val="a"/>
    <w:uiPriority w:val="34"/>
    <w:qFormat/>
    <w:rsid w:val="00D04D2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E776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20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5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5ED"/>
    <w:rPr>
      <w:sz w:val="18"/>
      <w:szCs w:val="18"/>
    </w:rPr>
  </w:style>
  <w:style w:type="paragraph" w:styleId="a5">
    <w:name w:val="List Paragraph"/>
    <w:basedOn w:val="a"/>
    <w:uiPriority w:val="34"/>
    <w:qFormat/>
    <w:rsid w:val="00D04D2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E776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20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wli@mail.ne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nsy@atm.ne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45C5-49B1-4AED-B46D-32CD4F71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2016-11-14T01:13:00Z</dcterms:created>
  <dcterms:modified xsi:type="dcterms:W3CDTF">2016-11-25T03:42:00Z</dcterms:modified>
</cp:coreProperties>
</file>